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1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970"/>
        <w:gridCol w:w="1721"/>
        <w:gridCol w:w="1783"/>
        <w:gridCol w:w="1792"/>
        <w:gridCol w:w="1796"/>
      </w:tblGrid>
      <w:tr w:rsidR="00DD5D7C" w:rsidRPr="001F5272" w14:paraId="13A19A30" w14:textId="77777777" w:rsidTr="00DD5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3B890C17" w14:textId="695636D3" w:rsidR="00DD5D7C" w:rsidRPr="00DD5D7C" w:rsidRDefault="00DD5D7C" w:rsidP="00DD5D7C">
            <w:pPr>
              <w:tabs>
                <w:tab w:val="left" w:pos="4905"/>
              </w:tabs>
              <w:jc w:val="center"/>
              <w:rPr>
                <w:rFonts w:ascii="Trebuchet MS" w:eastAsia="Trebuchet MS" w:hAnsi="Trebuchet MS" w:cs="Times New Roman"/>
                <w:b w:val="0"/>
                <w:bCs w:val="0"/>
                <w:sz w:val="24"/>
                <w:szCs w:val="28"/>
              </w:rPr>
            </w:pPr>
            <w:r w:rsidRPr="00DD5D7C">
              <w:rPr>
                <w:rFonts w:ascii="Trebuchet MS" w:eastAsia="Trebuchet MS" w:hAnsi="Trebuchet MS" w:cs="Times New Roman"/>
                <w:sz w:val="24"/>
                <w:szCs w:val="28"/>
              </w:rPr>
              <w:t>Wzór fiszki dla przedsięwzięć rewitalizacyjnych realizowanych przez lokalnych interesariuszy na obszarze rewitalizacji – nabór otwarty</w:t>
            </w:r>
          </w:p>
        </w:tc>
      </w:tr>
      <w:tr w:rsidR="001F5272" w:rsidRPr="001F5272" w14:paraId="2F5E19C4" w14:textId="77777777" w:rsidTr="003D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shd w:val="clear" w:color="auto" w:fill="6373BA"/>
          </w:tcPr>
          <w:p w14:paraId="66B3E0EB" w14:textId="4394280A" w:rsidR="001F5272" w:rsidRPr="001F5272" w:rsidRDefault="001F5272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Numer</w:t>
            </w:r>
          </w:p>
        </w:tc>
        <w:tc>
          <w:tcPr>
            <w:tcW w:w="7092" w:type="dxa"/>
            <w:gridSpan w:val="4"/>
            <w:shd w:val="clear" w:color="auto" w:fill="6373BA"/>
          </w:tcPr>
          <w:p w14:paraId="1DC87C87" w14:textId="77777777" w:rsidR="001F5272" w:rsidRPr="001F5272" w:rsidRDefault="001F5272" w:rsidP="001F5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1</w:t>
            </w:r>
          </w:p>
        </w:tc>
      </w:tr>
      <w:tr w:rsidR="001F5272" w:rsidRPr="001F5272" w14:paraId="45A8ACC0" w14:textId="77777777" w:rsidTr="001F527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480F3C0F" w14:textId="0DDC3129" w:rsidR="001F5272" w:rsidRPr="001F5272" w:rsidRDefault="001F5272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Nazwa przedsięwzięcia</w:t>
            </w:r>
            <w:r w:rsidR="00DD5D7C">
              <w:rPr>
                <w:rFonts w:ascii="Trebuchet MS" w:eastAsia="Trebuchet MS" w:hAnsi="Trebuchet MS" w:cs="Times New Roman"/>
                <w:szCs w:val="24"/>
              </w:rPr>
              <w:t xml:space="preserve"> (Tytuł projektu)</w:t>
            </w:r>
          </w:p>
        </w:tc>
        <w:tc>
          <w:tcPr>
            <w:tcW w:w="7092" w:type="dxa"/>
            <w:gridSpan w:val="4"/>
          </w:tcPr>
          <w:p w14:paraId="0B7FECB6" w14:textId="77777777" w:rsidR="001F5272" w:rsidRPr="001F5272" w:rsidRDefault="001F5272" w:rsidP="001F5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</w:tr>
      <w:tr w:rsidR="001F5272" w:rsidRPr="001F5272" w14:paraId="47728FB8" w14:textId="77777777" w:rsidTr="001F5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2F82926" w14:textId="77777777" w:rsidR="001F5272" w:rsidRPr="001F5272" w:rsidRDefault="001F5272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Powiązanie z celami GPR</w:t>
            </w:r>
          </w:p>
        </w:tc>
        <w:tc>
          <w:tcPr>
            <w:tcW w:w="7092" w:type="dxa"/>
            <w:gridSpan w:val="4"/>
          </w:tcPr>
          <w:p w14:paraId="5576CAC6" w14:textId="1C59E503" w:rsidR="001F5272" w:rsidRDefault="005D0414" w:rsidP="005D0414">
            <w:pPr>
              <w:ind w:left="2124" w:hanging="2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  <w:r>
              <w:rPr>
                <w:rFonts w:ascii="Trebuchet MS" w:eastAsia="Trebuchet MS" w:hAnsi="Trebuchet MS" w:cs="Times New Roman"/>
                <w:szCs w:val="24"/>
              </w:rPr>
              <w:t>Projekt wpisuje się w zakładane w Gminnym Programie Rewitalizacji cele rewitalizacji, w tym w szczególności (</w:t>
            </w:r>
            <w:r w:rsidRPr="00DD5D7C">
              <w:rPr>
                <w:rFonts w:ascii="Trebuchet MS" w:eastAsia="Trebuchet MS" w:hAnsi="Trebuchet MS" w:cs="Times New Roman"/>
                <w:b/>
                <w:bCs/>
                <w:i/>
                <w:iCs/>
                <w:szCs w:val="24"/>
              </w:rPr>
              <w:t>należy wybrać właściwe</w:t>
            </w:r>
            <w:r>
              <w:rPr>
                <w:rFonts w:ascii="Trebuchet MS" w:eastAsia="Trebuchet MS" w:hAnsi="Trebuchet MS" w:cs="Times New Roman"/>
                <w:szCs w:val="24"/>
              </w:rPr>
              <w:t>):</w:t>
            </w:r>
          </w:p>
          <w:p w14:paraId="50E5F284" w14:textId="043F534F" w:rsidR="005D0414" w:rsidRDefault="005D0414" w:rsidP="005D0414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  <w:r w:rsidRPr="005D0414">
              <w:rPr>
                <w:rFonts w:ascii="Trebuchet MS" w:eastAsia="Trebuchet MS" w:hAnsi="Trebuchet MS" w:cs="Times New Roman"/>
                <w:szCs w:val="24"/>
              </w:rPr>
              <w:t>Poprawa jakości przestrzeni publicznych oraz rozwój funkcji infrastruktury społecznej</w:t>
            </w:r>
            <w:r w:rsidRPr="005D0414">
              <w:rPr>
                <w:rFonts w:ascii="Trebuchet MS" w:eastAsia="Trebuchet MS" w:hAnsi="Trebuchet MS" w:cs="Times New Roman"/>
                <w:szCs w:val="24"/>
              </w:rPr>
              <w:t>,</w:t>
            </w:r>
          </w:p>
          <w:p w14:paraId="2FC7FDBF" w14:textId="179BA969" w:rsidR="005D0414" w:rsidRPr="009D518F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Tworzenie estetycznych, funkcjonalnych przestrzeni wspólnych w sołectwach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</w:t>
            </w:r>
          </w:p>
          <w:p w14:paraId="265E514B" w14:textId="7BDE3B73" w:rsidR="005D0414" w:rsidRPr="009D518F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Poszerzenie oferty kulturalno-rekreacyjnej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</w:t>
            </w:r>
          </w:p>
          <w:p w14:paraId="27513D43" w14:textId="320EC667" w:rsidR="005D0414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Rozwój infrastruktury edukacyjnej, kulturalnej i opiekuńczej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</w:t>
            </w:r>
          </w:p>
          <w:p w14:paraId="4F3C991D" w14:textId="72A7FFD7" w:rsidR="005D0414" w:rsidRPr="005D0414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D0414">
              <w:rPr>
                <w:rFonts w:ascii="Trebuchet MS" w:eastAsia="Trebuchet MS" w:hAnsi="Trebuchet MS" w:cs="Trebuchet MS"/>
                <w:sz w:val="24"/>
                <w:szCs w:val="24"/>
              </w:rPr>
              <w:t>Wykorzystanie lokalnego dziedzictwa kulturowego i potencjału turystycznego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.</w:t>
            </w:r>
          </w:p>
          <w:p w14:paraId="680433AD" w14:textId="23852A40" w:rsidR="005D0414" w:rsidRPr="005D0414" w:rsidRDefault="005D0414" w:rsidP="005D0414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Poprawa warunków życia społeczności lokalnej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</w:t>
            </w:r>
          </w:p>
          <w:p w14:paraId="0BF89460" w14:textId="77777777" w:rsidR="005D0414" w:rsidRPr="009D518F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Przeciwdziałanie zjawiskom wykluczenia społecznego (bezrobocie, uzależnienia, ubóstwo)</w:t>
            </w:r>
          </w:p>
          <w:p w14:paraId="5A60DED8" w14:textId="77777777" w:rsidR="005D0414" w:rsidRPr="009D518F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Integracja i aktywizacja grup </w:t>
            </w:r>
            <w:proofErr w:type="spellStart"/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defaworyzowanych</w:t>
            </w:r>
            <w:proofErr w:type="spellEnd"/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(seniorzy, osoby z niepełnosprawnościami)</w:t>
            </w:r>
          </w:p>
          <w:p w14:paraId="1C10687F" w14:textId="77777777" w:rsidR="005D0414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Wzmacnianie lokalnej tożsamości i więzi społecznych</w:t>
            </w:r>
          </w:p>
          <w:p w14:paraId="51D8F9EB" w14:textId="5AB99184" w:rsidR="005D0414" w:rsidRPr="005D0414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D0414">
              <w:rPr>
                <w:rFonts w:ascii="Trebuchet MS" w:eastAsia="Trebuchet MS" w:hAnsi="Trebuchet MS" w:cs="Trebuchet MS"/>
                <w:sz w:val="24"/>
                <w:szCs w:val="24"/>
              </w:rPr>
              <w:t>Poprawa dostępu do edukacji i usług opiekuńczych</w:t>
            </w:r>
          </w:p>
          <w:p w14:paraId="1036FB8E" w14:textId="41751C02" w:rsidR="005D0414" w:rsidRPr="005D0414" w:rsidRDefault="005D0414" w:rsidP="005D0414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Ochrona środowiska i poprawa jakości terenów zdegradowanych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</w:t>
            </w:r>
          </w:p>
          <w:p w14:paraId="009DD31E" w14:textId="77777777" w:rsidR="005D0414" w:rsidRPr="009D518F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Tworzenie dostępnych, zielonych przestrzeni publicznych</w:t>
            </w:r>
          </w:p>
          <w:p w14:paraId="614212DD" w14:textId="77777777" w:rsidR="005D0414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Realizacja działań na rzecz poprawy stanu środowiska, w tym OZE i termomodernizacji</w:t>
            </w:r>
          </w:p>
          <w:p w14:paraId="699B29C1" w14:textId="08C3F95D" w:rsidR="005D0414" w:rsidRPr="005D0414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D0414">
              <w:rPr>
                <w:rFonts w:ascii="Trebuchet MS" w:eastAsia="Trebuchet MS" w:hAnsi="Trebuchet MS" w:cs="Trebuchet MS"/>
                <w:sz w:val="24"/>
                <w:szCs w:val="24"/>
              </w:rPr>
              <w:t>Przekształcanie terenów zdegradowanych na cele rekreacyjne i turystyczne</w:t>
            </w:r>
          </w:p>
          <w:p w14:paraId="6CB6F1DD" w14:textId="6718748F" w:rsidR="005D0414" w:rsidRPr="005D0414" w:rsidRDefault="005D0414" w:rsidP="005D0414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Rozwój i modernizacja infrastruktury technicznej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</w:t>
            </w:r>
          </w:p>
          <w:p w14:paraId="2CBCDC29" w14:textId="77777777" w:rsidR="005D0414" w:rsidRPr="009D518F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Poprawa warunków mieszkaniowych i infrastruktury komunalnej</w:t>
            </w:r>
          </w:p>
          <w:p w14:paraId="16EFAE6B" w14:textId="77777777" w:rsidR="005D0414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Modernizacja sieci drogowej i transportu lokalnego</w:t>
            </w:r>
          </w:p>
          <w:p w14:paraId="3FF6CBAB" w14:textId="25AA724D" w:rsidR="005D0414" w:rsidRPr="005D0414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D0414">
              <w:rPr>
                <w:rFonts w:ascii="Trebuchet MS" w:eastAsia="Trebuchet MS" w:hAnsi="Trebuchet MS" w:cs="Trebuchet MS"/>
                <w:sz w:val="24"/>
                <w:szCs w:val="24"/>
              </w:rPr>
              <w:t>Dostosowanie obiektów publicznych do potrzeb osób z ograniczoną mobilnością</w:t>
            </w:r>
          </w:p>
          <w:p w14:paraId="6208B956" w14:textId="3161EE51" w:rsidR="005D0414" w:rsidRPr="005D0414" w:rsidRDefault="005D0414" w:rsidP="005D0414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Wzmocnienie lokalnej przedsiębiorczości i rynku pracy</w:t>
            </w:r>
          </w:p>
          <w:p w14:paraId="6882BCC4" w14:textId="77777777" w:rsidR="005D0414" w:rsidRPr="009D518F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lastRenderedPageBreak/>
              <w:t>Wsparcie działań aktywizujących lokalny rynek pracy</w:t>
            </w:r>
          </w:p>
          <w:p w14:paraId="598F008D" w14:textId="77777777" w:rsidR="005D0414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9D518F">
              <w:rPr>
                <w:rFonts w:ascii="Trebuchet MS" w:eastAsia="Trebuchet MS" w:hAnsi="Trebuchet MS" w:cs="Trebuchet MS"/>
                <w:sz w:val="24"/>
                <w:szCs w:val="24"/>
              </w:rPr>
              <w:t>Tworzenie warunków dla rozwoju inicjatyw gospodarczych mieszkańców</w:t>
            </w:r>
          </w:p>
          <w:p w14:paraId="26234545" w14:textId="7930A0A0" w:rsidR="005D0414" w:rsidRPr="005D0414" w:rsidRDefault="005D0414" w:rsidP="005D0414">
            <w:pPr>
              <w:numPr>
                <w:ilvl w:val="1"/>
                <w:numId w:val="1"/>
              </w:numPr>
              <w:tabs>
                <w:tab w:val="left" w:pos="454"/>
                <w:tab w:val="left" w:pos="6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D0414">
              <w:rPr>
                <w:rFonts w:ascii="Trebuchet MS" w:eastAsia="Trebuchet MS" w:hAnsi="Trebuchet MS" w:cs="Trebuchet MS"/>
                <w:sz w:val="24"/>
                <w:szCs w:val="24"/>
              </w:rPr>
              <w:t>Promocja gospodarcza gminy i jej walorów inwestycyjnych</w:t>
            </w:r>
          </w:p>
          <w:p w14:paraId="354F8A1F" w14:textId="63E0D7B9" w:rsidR="005D0414" w:rsidRPr="001F5272" w:rsidRDefault="005D0414" w:rsidP="005D0414">
            <w:pPr>
              <w:ind w:left="2124" w:hanging="2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</w:tr>
      <w:tr w:rsidR="001F5272" w:rsidRPr="001F5272" w14:paraId="32381D52" w14:textId="77777777" w:rsidTr="001F5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11005220" w14:textId="59163440" w:rsidR="001F5272" w:rsidRPr="001F5272" w:rsidRDefault="001F5272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lastRenderedPageBreak/>
              <w:t>Wymiar przedsięwzięcia</w:t>
            </w:r>
          </w:p>
        </w:tc>
        <w:tc>
          <w:tcPr>
            <w:tcW w:w="5296" w:type="dxa"/>
            <w:gridSpan w:val="3"/>
          </w:tcPr>
          <w:p w14:paraId="545B45A7" w14:textId="0AEB0232" w:rsidR="001F5272" w:rsidRPr="001F5272" w:rsidRDefault="005D0414" w:rsidP="001F5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b/>
                <w:bCs/>
                <w:szCs w:val="24"/>
              </w:rPr>
            </w:pPr>
            <w:r>
              <w:rPr>
                <w:rFonts w:ascii="Trebuchet MS" w:eastAsia="Trebuchet MS" w:hAnsi="Trebuchet MS" w:cs="Times New Roman"/>
                <w:b/>
                <w:bCs/>
                <w:szCs w:val="24"/>
              </w:rPr>
              <w:t>Społeczny</w:t>
            </w:r>
          </w:p>
        </w:tc>
        <w:tc>
          <w:tcPr>
            <w:tcW w:w="1796" w:type="dxa"/>
          </w:tcPr>
          <w:p w14:paraId="4C8C0211" w14:textId="3AD64097" w:rsidR="001F5272" w:rsidRPr="001F5272" w:rsidRDefault="005D0414" w:rsidP="001F5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  <w:r>
              <w:rPr>
                <w:rFonts w:ascii="Trebuchet MS" w:eastAsia="Trebuchet MS" w:hAnsi="Trebuchet MS" w:cs="Times New Roman"/>
                <w:szCs w:val="24"/>
              </w:rPr>
              <w:t>TAK/NIE</w:t>
            </w:r>
          </w:p>
        </w:tc>
      </w:tr>
      <w:tr w:rsidR="005D0414" w:rsidRPr="001F5272" w14:paraId="28E9C4AE" w14:textId="77777777" w:rsidTr="001F5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2DC98FC8" w14:textId="77777777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</w:p>
        </w:tc>
        <w:tc>
          <w:tcPr>
            <w:tcW w:w="5296" w:type="dxa"/>
            <w:gridSpan w:val="3"/>
          </w:tcPr>
          <w:p w14:paraId="289DBFF4" w14:textId="4C16E46A" w:rsidR="005D0414" w:rsidRPr="001F5272" w:rsidRDefault="005D0414" w:rsidP="005D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b/>
                <w:bCs/>
                <w:szCs w:val="24"/>
              </w:rPr>
            </w:pPr>
            <w:r>
              <w:rPr>
                <w:rFonts w:ascii="Trebuchet MS" w:eastAsia="Trebuchet MS" w:hAnsi="Trebuchet MS" w:cs="Times New Roman"/>
                <w:b/>
                <w:bCs/>
                <w:szCs w:val="24"/>
              </w:rPr>
              <w:t>Gospodarczy</w:t>
            </w:r>
          </w:p>
        </w:tc>
        <w:tc>
          <w:tcPr>
            <w:tcW w:w="1796" w:type="dxa"/>
          </w:tcPr>
          <w:p w14:paraId="46D9B461" w14:textId="796FA57B" w:rsidR="005D0414" w:rsidRPr="001F5272" w:rsidRDefault="005D0414" w:rsidP="005D041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  <w:r>
              <w:rPr>
                <w:rFonts w:ascii="Trebuchet MS" w:eastAsia="Trebuchet MS" w:hAnsi="Trebuchet MS" w:cs="Times New Roman"/>
                <w:szCs w:val="24"/>
              </w:rPr>
              <w:t>TAK/NIE</w:t>
            </w:r>
          </w:p>
        </w:tc>
      </w:tr>
      <w:tr w:rsidR="005D0414" w:rsidRPr="001F5272" w14:paraId="0EADF639" w14:textId="77777777" w:rsidTr="001F5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2B2B2014" w14:textId="77777777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</w:p>
        </w:tc>
        <w:tc>
          <w:tcPr>
            <w:tcW w:w="5296" w:type="dxa"/>
            <w:gridSpan w:val="3"/>
          </w:tcPr>
          <w:p w14:paraId="307A6314" w14:textId="08D6F8E9" w:rsidR="005D0414" w:rsidRPr="001F5272" w:rsidRDefault="005D0414" w:rsidP="005D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b/>
                <w:bCs/>
                <w:szCs w:val="24"/>
              </w:rPr>
            </w:pPr>
            <w:r>
              <w:rPr>
                <w:rFonts w:ascii="Trebuchet MS" w:eastAsia="Trebuchet MS" w:hAnsi="Trebuchet MS" w:cs="Times New Roman"/>
                <w:b/>
                <w:bCs/>
                <w:szCs w:val="24"/>
              </w:rPr>
              <w:t>Środowiskowy</w:t>
            </w:r>
          </w:p>
        </w:tc>
        <w:tc>
          <w:tcPr>
            <w:tcW w:w="1796" w:type="dxa"/>
          </w:tcPr>
          <w:p w14:paraId="6237B880" w14:textId="1195D3CA" w:rsidR="005D0414" w:rsidRPr="001F5272" w:rsidRDefault="005D0414" w:rsidP="005D041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  <w:r>
              <w:rPr>
                <w:rFonts w:ascii="Trebuchet MS" w:eastAsia="Trebuchet MS" w:hAnsi="Trebuchet MS" w:cs="Times New Roman"/>
                <w:szCs w:val="24"/>
              </w:rPr>
              <w:t>TAK/NIE</w:t>
            </w:r>
          </w:p>
        </w:tc>
      </w:tr>
      <w:tr w:rsidR="005D0414" w:rsidRPr="001F5272" w14:paraId="7F611E78" w14:textId="77777777" w:rsidTr="001F5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42CB9584" w14:textId="77777777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</w:p>
        </w:tc>
        <w:tc>
          <w:tcPr>
            <w:tcW w:w="5296" w:type="dxa"/>
            <w:gridSpan w:val="3"/>
          </w:tcPr>
          <w:p w14:paraId="1733B442" w14:textId="73283CD2" w:rsidR="005D0414" w:rsidRPr="001F5272" w:rsidRDefault="005D0414" w:rsidP="005D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b/>
                <w:bCs/>
                <w:szCs w:val="24"/>
              </w:rPr>
            </w:pPr>
            <w:r>
              <w:rPr>
                <w:rFonts w:ascii="Trebuchet MS" w:eastAsia="Trebuchet MS" w:hAnsi="Trebuchet MS" w:cs="Times New Roman"/>
                <w:b/>
                <w:bCs/>
                <w:szCs w:val="24"/>
              </w:rPr>
              <w:t>Techniczny</w:t>
            </w:r>
          </w:p>
        </w:tc>
        <w:tc>
          <w:tcPr>
            <w:tcW w:w="1796" w:type="dxa"/>
          </w:tcPr>
          <w:p w14:paraId="35971082" w14:textId="36D7E93A" w:rsidR="005D0414" w:rsidRPr="001F5272" w:rsidRDefault="005D0414" w:rsidP="005D041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  <w:r>
              <w:rPr>
                <w:rFonts w:ascii="Trebuchet MS" w:eastAsia="Trebuchet MS" w:hAnsi="Trebuchet MS" w:cs="Times New Roman"/>
                <w:szCs w:val="24"/>
              </w:rPr>
              <w:t>TAK/NIE</w:t>
            </w:r>
          </w:p>
        </w:tc>
      </w:tr>
      <w:tr w:rsidR="005D0414" w:rsidRPr="001F5272" w14:paraId="0C7033E4" w14:textId="77777777" w:rsidTr="001F5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4BDADA3A" w14:textId="77777777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</w:p>
        </w:tc>
        <w:tc>
          <w:tcPr>
            <w:tcW w:w="5296" w:type="dxa"/>
            <w:gridSpan w:val="3"/>
          </w:tcPr>
          <w:p w14:paraId="25F2CDFF" w14:textId="12ECF76F" w:rsidR="005D0414" w:rsidRPr="001F5272" w:rsidRDefault="005D0414" w:rsidP="005D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b/>
                <w:bCs/>
                <w:szCs w:val="24"/>
              </w:rPr>
            </w:pPr>
            <w:r>
              <w:rPr>
                <w:rFonts w:ascii="Trebuchet MS" w:eastAsia="Trebuchet MS" w:hAnsi="Trebuchet MS" w:cs="Times New Roman"/>
                <w:b/>
                <w:bCs/>
                <w:szCs w:val="24"/>
              </w:rPr>
              <w:t>Przestrzenno-funkcjonalny</w:t>
            </w:r>
          </w:p>
        </w:tc>
        <w:tc>
          <w:tcPr>
            <w:tcW w:w="1796" w:type="dxa"/>
          </w:tcPr>
          <w:p w14:paraId="6ED56AD4" w14:textId="5AA5D731" w:rsidR="005D0414" w:rsidRPr="001F5272" w:rsidRDefault="005D0414" w:rsidP="005D041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  <w:r>
              <w:rPr>
                <w:rFonts w:ascii="Trebuchet MS" w:eastAsia="Trebuchet MS" w:hAnsi="Trebuchet MS" w:cs="Times New Roman"/>
                <w:szCs w:val="24"/>
              </w:rPr>
              <w:t>TAK/NIE</w:t>
            </w:r>
          </w:p>
        </w:tc>
      </w:tr>
      <w:tr w:rsidR="005D0414" w:rsidRPr="001F5272" w14:paraId="3A87F545" w14:textId="77777777" w:rsidTr="001F5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47836275" w14:textId="77777777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Podmiot realizujący</w:t>
            </w:r>
          </w:p>
        </w:tc>
        <w:tc>
          <w:tcPr>
            <w:tcW w:w="7092" w:type="dxa"/>
            <w:gridSpan w:val="4"/>
          </w:tcPr>
          <w:p w14:paraId="1664F7ED" w14:textId="77777777" w:rsidR="005D0414" w:rsidRPr="001F5272" w:rsidRDefault="005D0414" w:rsidP="005D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</w:tr>
      <w:tr w:rsidR="005D0414" w:rsidRPr="001F5272" w14:paraId="7A3C17C5" w14:textId="77777777" w:rsidTr="00DD5D7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CD93E6C" w14:textId="77777777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Partnerzy</w:t>
            </w:r>
          </w:p>
        </w:tc>
        <w:tc>
          <w:tcPr>
            <w:tcW w:w="7092" w:type="dxa"/>
            <w:gridSpan w:val="4"/>
          </w:tcPr>
          <w:p w14:paraId="053C6D5C" w14:textId="77777777" w:rsidR="005D0414" w:rsidRPr="001F5272" w:rsidRDefault="005D0414" w:rsidP="005D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</w:tr>
      <w:tr w:rsidR="005D0414" w:rsidRPr="001F5272" w14:paraId="517E0E1B" w14:textId="77777777" w:rsidTr="00DD5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6E68C6FE" w14:textId="43DF54F0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Miejsce realizacji</w:t>
            </w:r>
          </w:p>
        </w:tc>
        <w:tc>
          <w:tcPr>
            <w:tcW w:w="7092" w:type="dxa"/>
            <w:gridSpan w:val="4"/>
          </w:tcPr>
          <w:p w14:paraId="44A6E3CD" w14:textId="77777777" w:rsidR="005D0414" w:rsidRPr="001F5272" w:rsidRDefault="005D0414" w:rsidP="005D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</w:tr>
      <w:tr w:rsidR="005D0414" w:rsidRPr="001F5272" w14:paraId="24EDF737" w14:textId="77777777" w:rsidTr="00DD5D7C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6BF00B75" w14:textId="69CA6549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Grupa docelowa</w:t>
            </w:r>
          </w:p>
        </w:tc>
        <w:tc>
          <w:tcPr>
            <w:tcW w:w="7092" w:type="dxa"/>
            <w:gridSpan w:val="4"/>
          </w:tcPr>
          <w:p w14:paraId="72F465B0" w14:textId="77777777" w:rsidR="005D0414" w:rsidRPr="001F5272" w:rsidRDefault="005D0414" w:rsidP="005D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</w:tr>
      <w:tr w:rsidR="005D0414" w:rsidRPr="001F5272" w14:paraId="5605B509" w14:textId="77777777" w:rsidTr="00DD5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5831D092" w14:textId="65541D19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Zakres realizowanych zadań</w:t>
            </w:r>
            <w:r w:rsidR="00DD5D7C">
              <w:rPr>
                <w:rFonts w:ascii="Trebuchet MS" w:eastAsia="Trebuchet MS" w:hAnsi="Trebuchet MS" w:cs="Times New Roman"/>
                <w:szCs w:val="24"/>
              </w:rPr>
              <w:t xml:space="preserve"> (działania w projekcie)</w:t>
            </w:r>
          </w:p>
        </w:tc>
        <w:tc>
          <w:tcPr>
            <w:tcW w:w="7092" w:type="dxa"/>
            <w:gridSpan w:val="4"/>
          </w:tcPr>
          <w:p w14:paraId="0A1B57D8" w14:textId="77777777" w:rsidR="005D0414" w:rsidRPr="001F5272" w:rsidRDefault="005D0414" w:rsidP="005D0414">
            <w:pPr>
              <w:spacing w:after="12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</w:tr>
      <w:tr w:rsidR="005D0414" w:rsidRPr="001F5272" w14:paraId="3B0E823A" w14:textId="77777777" w:rsidTr="00DD5D7C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33FF039F" w14:textId="77777777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Działania wspierające dostępność</w:t>
            </w:r>
          </w:p>
        </w:tc>
        <w:tc>
          <w:tcPr>
            <w:tcW w:w="7092" w:type="dxa"/>
            <w:gridSpan w:val="4"/>
          </w:tcPr>
          <w:p w14:paraId="593AAD12" w14:textId="77777777" w:rsidR="005D0414" w:rsidRPr="001F5272" w:rsidRDefault="005D0414" w:rsidP="005D0414">
            <w:pPr>
              <w:spacing w:after="12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Cs w:val="24"/>
              </w:rPr>
            </w:pPr>
          </w:p>
        </w:tc>
      </w:tr>
      <w:tr w:rsidR="005D0414" w:rsidRPr="001F5272" w14:paraId="4D609C8F" w14:textId="77777777" w:rsidTr="00DD5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36A6BA1F" w14:textId="149C8327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Okres realizacji</w:t>
            </w:r>
          </w:p>
        </w:tc>
        <w:tc>
          <w:tcPr>
            <w:tcW w:w="7092" w:type="dxa"/>
            <w:gridSpan w:val="4"/>
          </w:tcPr>
          <w:p w14:paraId="353F02F1" w14:textId="77777777" w:rsidR="005D0414" w:rsidRPr="001F5272" w:rsidRDefault="005D0414" w:rsidP="005D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</w:tr>
      <w:tr w:rsidR="005D0414" w:rsidRPr="001F5272" w14:paraId="3433BA2F" w14:textId="77777777" w:rsidTr="00DD5D7C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E62FEF5" w14:textId="25A5A44C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Wartość</w:t>
            </w:r>
            <w:r w:rsidR="00E033D9">
              <w:rPr>
                <w:rFonts w:ascii="Trebuchet MS" w:eastAsia="Trebuchet MS" w:hAnsi="Trebuchet MS" w:cs="Times New Roman"/>
                <w:szCs w:val="24"/>
              </w:rPr>
              <w:t xml:space="preserve"> projektu</w:t>
            </w:r>
          </w:p>
        </w:tc>
        <w:tc>
          <w:tcPr>
            <w:tcW w:w="7092" w:type="dxa"/>
            <w:gridSpan w:val="4"/>
          </w:tcPr>
          <w:p w14:paraId="06DBAACA" w14:textId="77777777" w:rsidR="005D0414" w:rsidRPr="001F5272" w:rsidRDefault="005D0414" w:rsidP="005D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</w:tr>
      <w:tr w:rsidR="005D0414" w:rsidRPr="001F5272" w14:paraId="7AD0F012" w14:textId="77777777" w:rsidTr="001F5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3F7A7CC2" w14:textId="53603CA5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Źródła finansowania</w:t>
            </w:r>
          </w:p>
        </w:tc>
        <w:tc>
          <w:tcPr>
            <w:tcW w:w="7092" w:type="dxa"/>
            <w:gridSpan w:val="4"/>
          </w:tcPr>
          <w:p w14:paraId="5910F697" w14:textId="77777777" w:rsidR="005D0414" w:rsidRPr="001F5272" w:rsidRDefault="005D0414" w:rsidP="005D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</w:tr>
      <w:tr w:rsidR="005D0414" w:rsidRPr="001F5272" w14:paraId="2E0D8365" w14:textId="77777777" w:rsidTr="001F5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gridSpan w:val="2"/>
          </w:tcPr>
          <w:p w14:paraId="3C96CDFD" w14:textId="78E67083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Wybrane wskaźniki monitoringowe</w:t>
            </w:r>
            <w:r w:rsidR="00E033D9">
              <w:rPr>
                <w:rFonts w:ascii="Trebuchet MS" w:eastAsia="Trebuchet MS" w:hAnsi="Trebuchet MS" w:cs="Times New Roman"/>
                <w:szCs w:val="24"/>
              </w:rPr>
              <w:t xml:space="preserve"> zgodne z tabelą nr 17 „Wskaźniki monitoringowe dokumentu GPR”</w:t>
            </w:r>
          </w:p>
        </w:tc>
        <w:tc>
          <w:tcPr>
            <w:tcW w:w="1783" w:type="dxa"/>
          </w:tcPr>
          <w:p w14:paraId="006928AC" w14:textId="77777777" w:rsidR="005D0414" w:rsidRPr="001F5272" w:rsidRDefault="005D0414" w:rsidP="005D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b/>
                <w:bCs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b/>
                <w:bCs/>
                <w:szCs w:val="24"/>
              </w:rPr>
              <w:t>Jednostka miary</w:t>
            </w:r>
          </w:p>
        </w:tc>
        <w:tc>
          <w:tcPr>
            <w:tcW w:w="1792" w:type="dxa"/>
          </w:tcPr>
          <w:p w14:paraId="5D4A0614" w14:textId="77777777" w:rsidR="005D0414" w:rsidRPr="001F5272" w:rsidRDefault="005D0414" w:rsidP="005D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b/>
                <w:bCs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b/>
                <w:bCs/>
                <w:szCs w:val="24"/>
              </w:rPr>
              <w:t xml:space="preserve">Typ wskaźnika </w:t>
            </w:r>
          </w:p>
        </w:tc>
        <w:tc>
          <w:tcPr>
            <w:tcW w:w="1796" w:type="dxa"/>
          </w:tcPr>
          <w:p w14:paraId="7BD824ED" w14:textId="77777777" w:rsidR="005D0414" w:rsidRPr="001F5272" w:rsidRDefault="005D0414" w:rsidP="005D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b/>
                <w:bCs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b/>
                <w:bCs/>
                <w:szCs w:val="24"/>
              </w:rPr>
              <w:t xml:space="preserve">Źródło danych </w:t>
            </w:r>
          </w:p>
        </w:tc>
      </w:tr>
      <w:tr w:rsidR="005D0414" w:rsidRPr="001F5272" w14:paraId="25B07544" w14:textId="77777777" w:rsidTr="00DD5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gridSpan w:val="2"/>
          </w:tcPr>
          <w:p w14:paraId="577697BA" w14:textId="77777777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</w:p>
        </w:tc>
        <w:tc>
          <w:tcPr>
            <w:tcW w:w="1783" w:type="dxa"/>
          </w:tcPr>
          <w:p w14:paraId="7BA792D5" w14:textId="77777777" w:rsidR="005D0414" w:rsidRPr="001F5272" w:rsidRDefault="005D0414" w:rsidP="005D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  <w:tc>
          <w:tcPr>
            <w:tcW w:w="1792" w:type="dxa"/>
          </w:tcPr>
          <w:p w14:paraId="66B8F488" w14:textId="77777777" w:rsidR="005D0414" w:rsidRPr="001F5272" w:rsidRDefault="005D0414" w:rsidP="005D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  <w:tc>
          <w:tcPr>
            <w:tcW w:w="1796" w:type="dxa"/>
          </w:tcPr>
          <w:p w14:paraId="6089E8AF" w14:textId="77777777" w:rsidR="005D0414" w:rsidRPr="001F5272" w:rsidRDefault="005D0414" w:rsidP="005D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</w:tr>
      <w:tr w:rsidR="005D0414" w:rsidRPr="001F5272" w14:paraId="3F2B6CA4" w14:textId="77777777" w:rsidTr="001F5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gridSpan w:val="2"/>
          </w:tcPr>
          <w:p w14:paraId="7D8F768F" w14:textId="77777777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</w:p>
        </w:tc>
        <w:tc>
          <w:tcPr>
            <w:tcW w:w="1783" w:type="dxa"/>
          </w:tcPr>
          <w:p w14:paraId="03C44962" w14:textId="77777777" w:rsidR="005D0414" w:rsidRPr="001F5272" w:rsidRDefault="005D0414" w:rsidP="005D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  <w:tc>
          <w:tcPr>
            <w:tcW w:w="1792" w:type="dxa"/>
          </w:tcPr>
          <w:p w14:paraId="1C3FEAC7" w14:textId="77777777" w:rsidR="005D0414" w:rsidRPr="001F5272" w:rsidRDefault="005D0414" w:rsidP="005D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b/>
                <w:bCs/>
                <w:szCs w:val="24"/>
              </w:rPr>
            </w:pPr>
          </w:p>
        </w:tc>
        <w:tc>
          <w:tcPr>
            <w:tcW w:w="1796" w:type="dxa"/>
          </w:tcPr>
          <w:p w14:paraId="5B1E9448" w14:textId="77777777" w:rsidR="005D0414" w:rsidRPr="001F5272" w:rsidRDefault="005D0414" w:rsidP="005D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</w:tr>
      <w:tr w:rsidR="005D0414" w:rsidRPr="001F5272" w14:paraId="72EDE839" w14:textId="77777777" w:rsidTr="001F5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FF3AB49" w14:textId="2E0358BD" w:rsidR="005D0414" w:rsidRPr="001F5272" w:rsidRDefault="005D0414" w:rsidP="00DD5D7C">
            <w:pPr>
              <w:jc w:val="center"/>
              <w:rPr>
                <w:rFonts w:ascii="Trebuchet MS" w:eastAsia="Trebuchet MS" w:hAnsi="Trebuchet MS" w:cs="Times New Roman"/>
                <w:szCs w:val="24"/>
              </w:rPr>
            </w:pPr>
            <w:r w:rsidRPr="001F5272">
              <w:rPr>
                <w:rFonts w:ascii="Trebuchet MS" w:eastAsia="Trebuchet MS" w:hAnsi="Trebuchet MS" w:cs="Times New Roman"/>
                <w:szCs w:val="24"/>
              </w:rPr>
              <w:t>Efekty realizacji projektu</w:t>
            </w:r>
          </w:p>
        </w:tc>
        <w:tc>
          <w:tcPr>
            <w:tcW w:w="7092" w:type="dxa"/>
            <w:gridSpan w:val="4"/>
          </w:tcPr>
          <w:p w14:paraId="41FF1C4F" w14:textId="77777777" w:rsidR="005D0414" w:rsidRPr="001F5272" w:rsidRDefault="005D0414" w:rsidP="005D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Cs w:val="24"/>
              </w:rPr>
            </w:pPr>
          </w:p>
        </w:tc>
      </w:tr>
    </w:tbl>
    <w:p w14:paraId="28C226CD" w14:textId="77777777" w:rsidR="001F5272" w:rsidRPr="001F5272" w:rsidRDefault="001F5272" w:rsidP="00DD5D7C">
      <w:pPr>
        <w:jc w:val="center"/>
        <w:rPr>
          <w:b/>
          <w:bCs/>
          <w:sz w:val="24"/>
          <w:szCs w:val="24"/>
        </w:rPr>
      </w:pPr>
    </w:p>
    <w:sectPr w:rsidR="001F5272" w:rsidRPr="001F5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1CD4"/>
    <w:multiLevelType w:val="hybridMultilevel"/>
    <w:tmpl w:val="8364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2D54"/>
    <w:multiLevelType w:val="multilevel"/>
    <w:tmpl w:val="3EC6AA04"/>
    <w:lvl w:ilvl="0">
      <w:start w:val="3"/>
      <w:numFmt w:val="decimal"/>
      <w:lvlText w:val="%1."/>
      <w:lvlJc w:val="left"/>
      <w:pPr>
        <w:ind w:left="460" w:hanging="460"/>
      </w:pPr>
      <w:rPr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none"/>
      </w:rPr>
    </w:lvl>
  </w:abstractNum>
  <w:abstractNum w:abstractNumId="2" w15:restartNumberingAfterBreak="0">
    <w:nsid w:val="2F5E5D11"/>
    <w:multiLevelType w:val="multilevel"/>
    <w:tmpl w:val="2C7CF480"/>
    <w:lvl w:ilvl="0">
      <w:start w:val="4"/>
      <w:numFmt w:val="decimal"/>
      <w:lvlText w:val="%1."/>
      <w:lvlJc w:val="left"/>
      <w:pPr>
        <w:ind w:left="460" w:hanging="460"/>
      </w:pPr>
      <w:rPr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none"/>
      </w:rPr>
    </w:lvl>
  </w:abstractNum>
  <w:abstractNum w:abstractNumId="3" w15:restartNumberingAfterBreak="0">
    <w:nsid w:val="2F7E274F"/>
    <w:multiLevelType w:val="multilevel"/>
    <w:tmpl w:val="59AEFAC0"/>
    <w:lvl w:ilvl="0">
      <w:start w:val="5"/>
      <w:numFmt w:val="decimal"/>
      <w:lvlText w:val="%1."/>
      <w:lvlJc w:val="left"/>
      <w:pPr>
        <w:ind w:left="440" w:hanging="440"/>
      </w:pPr>
      <w:rPr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none"/>
      </w:rPr>
    </w:lvl>
  </w:abstractNum>
  <w:abstractNum w:abstractNumId="4" w15:restartNumberingAfterBreak="0">
    <w:nsid w:val="4F483E39"/>
    <w:multiLevelType w:val="hybridMultilevel"/>
    <w:tmpl w:val="E3001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71ED4"/>
    <w:multiLevelType w:val="multilevel"/>
    <w:tmpl w:val="E1FC292A"/>
    <w:lvl w:ilvl="0">
      <w:start w:val="1"/>
      <w:numFmt w:val="decimal"/>
      <w:lvlText w:val="%1."/>
      <w:lvlJc w:val="left"/>
      <w:pPr>
        <w:ind w:left="440" w:hanging="440"/>
      </w:pPr>
      <w:rPr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none"/>
      </w:rPr>
    </w:lvl>
  </w:abstractNum>
  <w:abstractNum w:abstractNumId="6" w15:restartNumberingAfterBreak="0">
    <w:nsid w:val="7F9264C5"/>
    <w:multiLevelType w:val="multilevel"/>
    <w:tmpl w:val="52A86B6A"/>
    <w:lvl w:ilvl="0">
      <w:start w:val="2"/>
      <w:numFmt w:val="decimal"/>
      <w:lvlText w:val="%1."/>
      <w:lvlJc w:val="left"/>
      <w:pPr>
        <w:ind w:left="440" w:hanging="440"/>
      </w:pPr>
      <w:rPr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none"/>
      </w:rPr>
    </w:lvl>
  </w:abstractNum>
  <w:num w:numId="1" w16cid:durableId="2090348708">
    <w:abstractNumId w:val="0"/>
  </w:num>
  <w:num w:numId="2" w16cid:durableId="410392360">
    <w:abstractNumId w:val="5"/>
  </w:num>
  <w:num w:numId="3" w16cid:durableId="953823971">
    <w:abstractNumId w:val="4"/>
  </w:num>
  <w:num w:numId="4" w16cid:durableId="1089109921">
    <w:abstractNumId w:val="6"/>
  </w:num>
  <w:num w:numId="5" w16cid:durableId="2145925400">
    <w:abstractNumId w:val="1"/>
  </w:num>
  <w:num w:numId="6" w16cid:durableId="1710490880">
    <w:abstractNumId w:val="2"/>
  </w:num>
  <w:num w:numId="7" w16cid:durableId="21115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72"/>
    <w:rsid w:val="001F5272"/>
    <w:rsid w:val="00264962"/>
    <w:rsid w:val="003C39E6"/>
    <w:rsid w:val="003D165C"/>
    <w:rsid w:val="004169F1"/>
    <w:rsid w:val="00495C81"/>
    <w:rsid w:val="005D0414"/>
    <w:rsid w:val="00BA6428"/>
    <w:rsid w:val="00C41831"/>
    <w:rsid w:val="00DD5D7C"/>
    <w:rsid w:val="00E033D9"/>
    <w:rsid w:val="00E9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C0DE"/>
  <w15:chartTrackingRefBased/>
  <w15:docId w15:val="{2C7077C9-1BC1-4740-A891-DA2BCF52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5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52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5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2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5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5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5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52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52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2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52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52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52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2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5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5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5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5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52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52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52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5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52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5272"/>
    <w:rPr>
      <w:b/>
      <w:bCs/>
      <w:smallCaps/>
      <w:color w:val="2F5496" w:themeColor="accent1" w:themeShade="BF"/>
      <w:spacing w:val="5"/>
    </w:rPr>
  </w:style>
  <w:style w:type="table" w:customStyle="1" w:styleId="Zwykatabela11">
    <w:name w:val="Zwykła tabela 11"/>
    <w:basedOn w:val="Standardowy"/>
    <w:uiPriority w:val="41"/>
    <w:rsid w:val="001F527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C684-BFE2-4186-97DA-A92AC453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Kinga Wciseł</cp:lastModifiedBy>
  <cp:revision>3</cp:revision>
  <cp:lastPrinted>2025-04-28T13:33:00Z</cp:lastPrinted>
  <dcterms:created xsi:type="dcterms:W3CDTF">2025-04-14T10:58:00Z</dcterms:created>
  <dcterms:modified xsi:type="dcterms:W3CDTF">2025-04-28T13:37:00Z</dcterms:modified>
</cp:coreProperties>
</file>